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23 118 vom 5. Februar 2025</w:t>
      </w:r>
    </w:p>
    <w:p>
      <w:r>
        <w:t>VS Kantonsgericht, 2025-02-05, FR</w:t>
      </w:r>
    </w:p>
    <w:p>
      <w:r>
        <w:rPr>
          <w:b/>
        </w:rPr>
        <w:t xml:space="preserve">Quelle: </w:t>
      </w:r>
      <w:r>
        <w:t>https://mcp.opencaselaw.ch/entscheid/vs_gerichte_S1 23 118</w:t>
      </w:r>
    </w:p>
    <w:p>
      <w:r>
        <w:t>FR: VS_GERICHTE S1 23 118 du 5 février 2025</w:t>
      </w:r>
    </w:p>
    <w:p>
      <w:r>
        <w:t>IT: VS_GERICHTE S1 23 118 del 5 febbraio 2025</w:t>
      </w:r>
    </w:p>
    <w:p>
      <w:pPr>
        <w:pStyle w:val="Heading2"/>
      </w:pPr>
      <w:r>
        <w:t>Regeste</w:t>
      </w:r>
    </w:p>
    <w:p>
      <w:r>
        <w:t>S1 23 118 ARRET DU 5 FÉVRIER 2025 Tribunal cantonal du Valais Cour des assurances sociales Composition : Candido Prada, président ; Jean-Bernard Fournier et Christophe Joris, juges ; Anaïs Mottiez, greffière en la cause X _________, recourante, représentée par Maître Sophie Haenni, avocate, Martigny contre OFFICE CANTONAL AI DU VALAIS, intimé (art. 17 LPGA ; nouvelle demande, rente d’invalidité)</w:t>
      </w:r>
    </w:p>
    <w:p>
      <w:pPr>
        <w:pStyle w:val="Heading2"/>
      </w:pPr>
      <w:r>
        <w:t>Erwägungen</w:t>
      </w:r>
    </w:p>
    <w:p>
      <w:r>
        <w:rPr>
          <w:b/>
        </w:rPr>
        <w:t>E. 1.1</w:t>
      </w:r>
    </w:p>
    <w:p>
      <w:r>
        <w:t>Selon l'article 1 alinéa 1 LAI, les dispositions de la loi fédérale du 6 octobre 2000 sur la partie générale du droit des assurances sociales (LPGA) s'appliquent à l'AI (art. 1a à 26bis et 28 à 70), à moins que la LAI n'y déroge expressément.</w:t>
      </w:r>
    </w:p>
    <w:p>
      <w:r>
        <w:t>- 10 - Posté le 23 août 2023, le présent recours à l’encontre de la décision du 21 juin précédent a été interjeté dans le délai de trente jours compte tenu des féries d’été (art. 38 al. 4 et 60 LPGA) et devant l'instance compétente (art. 56 et 57 LPGA et 69 al. 1 let. a LAI ; art. 81a al. 1 LPJA). Il répond par ailleurs aux autres conditions formelles de recevabilité (art. 61 let. b LPGA), de sorte que la Cour doit entrer en matière.</w:t>
      </w:r>
    </w:p>
    <w:p>
      <w:r>
        <w:rPr>
          <w:b/>
        </w:rPr>
        <w:t>E. 1.2</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146 V 364 consid. 7.1 et 144 V 210 consid. 4.3.1). En l’occurrence, la nouvelle demande de prestations AI a été déposée en novembre 2022, de sorte que le nouveau droit est applicable.</w:t>
      </w:r>
    </w:p>
    <w:p>
      <w:r>
        <w:rPr>
          <w:b/>
        </w:rPr>
        <w:t>E. 2.1</w:t>
      </w:r>
    </w:p>
    <w:p>
      <w:r>
        <w:t>Le litige s’inscrit dans le cadre d’une quatrième demande de prestations AI sur laquelle l’intimé a accepté d’entrer en matière. Il convient ainsi d’examiner si c’est à bon droit que celui-ci a ensuite débouté la recourante, au motif qu’elle n’avait pas réussi à démontrer une modification notable de son état de santé.</w:t>
      </w:r>
    </w:p>
    <w:p>
      <w:r>
        <w:rPr>
          <w:b/>
        </w:rPr>
        <w:t>E. 2.2</w:t>
      </w:r>
    </w:p>
    <w:p>
      <w:r>
        <w:t>A teneur de l'article 17 alinéa 1 LPGA, la rente d’invalidité est, d’office ou sur demande, révisée pour l’avenir, à savoir augmentée, réduite ou supprimée, lorsque le taux d’invalidité de l’assuré : subit une modification d’au moins 5 points de pourcentage (let. a), ou atteint 100% (let. b). De même, toute prestation durable accordée en vertu d’une décision entrée en force est, d’office ou sur demande, augmentée ou réduite en conséquence, ou encore supprimée si les circonstances dont dépendait son octroi changent notablement (art. 17 al. 2 LPGA). Les règles sur la révision d’une rente sont applicables par analogie à toute nouvelle demande de rente après un précédent refus (ATF 130 V 71 consid. 3.2 ; arrêt du Tribunal fédéral 9C_899/2015 du 4 mars 2016 consid. 4.1 et 4.2).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 368 consid. 2 et la référence). C'est la dernière décision entrée en force qui repose sur un examen matériel du droit à la rente avec une constatation des faits pertinents, une appréciation des preuves et une</w:t>
      </w:r>
    </w:p>
    <w:p>
      <w:r>
        <w:t>- 11 - comparaison des revenus conformes au droit qui constitue le point de départ temporel pour l'examen d'une modification du degré d'invalidité lors d'une révision de la rente sur demande ou d'office (ATF 133 V 108 consid. 5 ; arrêt du Tribunal fédéral 9C_140/2017 du 18 août 2017 consid. 4.2). La rente peut être révisée non seulement en cas de modification sensible de l'état de santé, mais aussi lorsque celui-ci est en soi resté le même mais que ses conséquences sur la capacité de gain ont subi un changement important (ATF 134 V 131 consid. 3, 113 V 273 consid. 1a et les références, 112 V 387consid. 1b).</w:t>
      </w:r>
    </w:p>
    <w:p>
      <w:r>
        <w:rPr>
          <w:b/>
        </w:rPr>
        <w:t>E. 2.3</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l’assuré (ATF 140 V 193 consid. 3.2, 125 V 256, 115 V 133 consid. 2, 114 V 310 consid. 3c et 105 V 156 consid. 1 ; arrêt du Tribunal fédéral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54a LAI et 49 RAI ; cf. CIIAI, ch. 1001 ss). Selon l’article 54a al. 2 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(art. 54a al. 3 LAI), en tenant compte, qualitativement et quantitativement, de toutes les ressources et limitations physiques, mentales ou psychiques (art. 49 al. 1bis RAI). Ils sont indépendants dans l’évaluation médicale des cas d’espèce (art. 54a al. 4 LAI).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Les rapports du SMR ont</w:t>
      </w:r>
    </w:p>
    <w:p>
      <w:r>
        <w:t>- 12 -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135 V 465 consid. 4.4 et 122 V 157 consid. 1d ; arrêts du Tribunal fédéral 9C_518/2007 du 14 juillet 2008 consid. 3.2 et 9C_25/2015 du 1er mai 2015 consid. 4.1 ; VALTERIO, Droit de l'assurance-vieillesse et survivants [AVS] et de l'assurance-invalidité [AI], 2011, n° 2920).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 ; arrêt du Tribunal fédéral 8C_245/2011 du 25 août 2011 consid. 5.3).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peu souvent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8C_198/2020 du 28 septembre 2020 consid. 2.1.2).</w:t>
      </w:r>
    </w:p>
    <w:p>
      <w:r>
        <w:rPr>
          <w:b/>
        </w:rPr>
        <w:t>E. 2.4</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w:t>
      </w:r>
    </w:p>
    <w:p>
      <w:r>
        <w:t>- 13 -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134 V 231 consid. 5.1 et 125 V 351 consid. 3a et la réf. cit.).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le fait que d'autres spécialistes émettent des opinions contraires objectivement vérifiables – de nature notamment clinique ou diagnostique – aptes à mettre sérieusement en doute la pertinence des déductions de l'expert (ATF 125 V 351 cons. 3b/aa, 118 V 220 consid. 1b et les références; arrêts du Tribunal fédéral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Tribunal fédéral 9C_748/2013 cité consid. 4.1.1, U 365/06 du 26 janvier 2007 consid. 4.1).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non plus pas ouverte à la personne assurée. La nécessité d’administrer une nouvelle expertise résulte de la question de savoir si celle qui se trouve déjà au dossier remplit les exigences de forme et de fond posées pour la valeur probante d’une expertise médicale (arrêt du Tribunal fédéral U 571/06 du 29 mai 2007 consid. 4.2 et les références).</w:t>
      </w:r>
    </w:p>
    <w:p>
      <w:r>
        <w:rPr>
          <w:b/>
        </w:rPr>
        <w:t>E. 2.5</w:t>
      </w:r>
    </w:p>
    <w:p>
      <w:r>
        <w:t>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et 131 V 242 consid.2.1). Le juge doit cependant prendre en compte les faits</w:t>
      </w:r>
    </w:p>
    <w:p>
      <w:r>
        <w:t>- 14 -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du Tribunal fédéral 8C_239/2020 du 19 avril 2021 consid. 7.2.1 et les autres arrêts cités).</w:t>
      </w:r>
    </w:p>
    <w:p>
      <w:r>
        <w:rPr>
          <w:b/>
        </w:rPr>
        <w:t>E. 3.1</w:t>
      </w:r>
    </w:p>
    <w:p>
      <w:r>
        <w:t>Dans le cas d’espèce, il convient d’examiner si, depuis le dernier examen matériel du droit à des prestations, la situation médicale de la recourante s’est aggravée et lui donne le droit à une rente d’invalidité.</w:t>
      </w:r>
    </w:p>
    <w:p>
      <w:r>
        <w:rPr>
          <w:b/>
        </w:rPr>
        <w:t>E. 3.2</w:t>
      </w:r>
    </w:p>
    <w:p>
      <w:r>
        <w:t>Lorsque le droit à une rente d’invalidité a été nié par décision du 23 janvier 2019, l’intéressée présentait le diagnostic incapacitant d’état anxieux de légère à moyenne intensité (F41.1) ainsi que les diagnostics sans incidence sur la capacité de travail d’accentuation de certains traits de personnalité, sous forme de personnalité anxieuse (Z73.1), et de tendances neurasthéniques (F48.0). En revanche, le diagnostic de trouble dépressif récurrent (F33), posé par la Dresse C _________, n’a été retenu ni par l’expert (Dr G _________) ni par le SMR (Dr E _________). Une capacité de travail de 80% a été admise dans une activité adaptée (cadre de travail soutenant, absence d’un niveau de stress supérieur, tâches bien définies, vérification régulière des tâches accomplies, surtout dans la première phase d’adaptation) et ce dès le 1er juillet 2017. Depuis cette décision de refus de rente d’invalidité, la recourante a requis le réexamen de son cas par trois fois. Les nouvelles demandes de prestations du 5 avril 2019 et du 14 février 2022, fondées sur deux rapports de la Dresse C _________ des mêmes jours, se sont soldées par des décisions de refus d’entrer en matière, l’aggravation de son état de santé n’ayant pas été rendue plausible par l’assurée, dès lors que sa psychiatre traitante proposait une interprétation différente sa situation (diagnostics de séquelles de psychose infantile (F84), de trouble des impulsions et des habitudes (F63.9), de trouble dépressif récurrent (F33) ainsi que de trouble anxieux généralisé (F41.1) impliquant une incapacité de travail supérieure à celle retenue par l’expert), alors que son état était inchangé sur le plan clinique (baisse de l’humeur, vertiges, retrait social, réduction des activités ménagères).</w:t>
      </w:r>
    </w:p>
    <w:p>
      <w:r>
        <w:rPr>
          <w:b/>
        </w:rPr>
        <w:t>E. 3.3</w:t>
      </w:r>
    </w:p>
    <w:p>
      <w:r>
        <w:t>En novembre 2022, l’assurée a formulé une quatrième demande de prestations AI, soutenant que sa symptomatologie dépressive était revenue en octobre 2022 dans le contexte d’une augmentation de son activité d’aide-coiffeuse à 50%, avec notamment</w:t>
      </w:r>
    </w:p>
    <w:p>
      <w:r>
        <w:t>- 15 - des pleurs, des angoisses et une aggravation de la fatigue et de la fatigabilité la contraignant à revenir à un taux de 30% dès le 24 octobre 2022. En présence d’un éventuel motif de révision au sens de l’article 17 LPGA, l’intimé est entré en matière sur la nouvelle demande de prestations du 16 novembre 2022. Toutefois, l’instruction menée par l’OAI n’a pas fait ressortir une modification notable de l’invalidité de la recourante pouvant justifier une révision de sa rente selon l’article 17 LPGA. En effet, le rapport du 15 décembre 2022 de la Dresse D _________ n’a pas fait état d’une aggravation de l’état de santé de l’assurée, ce médecin se contentant d’indiquer que sa patiente avait présenté depuis 2016 des symptômes nécessitant une prise en charge spécialisée au niveau psychique et de renvoyer à l’avis de la Dresse C _________. Quant à cette dernière, force est de constater que, dans son rapport du 21 décembre 2022, elle n’a fait que rappeler les diagnostics qu’elle avait déjà posés auparavant, soit ceux de trouble dépressif récurrent, actuellement en rémission (F33.4), le dernier épisode sévère étant survenu en décembre 2021 et le dernier épisode moyen en octobre 2022, ainsi que de séquelles de psychose infantile (F60.9), ces diagnostics ayant du reste d’ores et déjà été discutés par le SMR dans ses précédentes prises de position (cf. not. rapports du 25 avril 2019 et du 6 avril 2022). Par ailleurs, la Dresse C _________ a estimé que l’incapacité de travail de sa patiente était de 70%, soit le même taux que celui retenu dans son précédent rapport du 14 février 2022 et correspondant au surplus au taux d’activité exercé par l’intéressée en tant qu’aide- coiffeuse (30%) depuis le mois de novembre 2022. Il en va de même du rapport complémentaire émis le 7 février 2023 par cette spécialiste, ce dernier ne contenant aucun diagnostic nouveau et se contentant d’indiquer que l’incapacité de travail de l’assurée était désormais totale depuis ce jour, celle-ci ayant reçu sa lettre de licenciement peu avant, ce qui lui avait causé une baisse de l’humeur. En outre, c’est le lieu de rappeler que la prise en charge d'une prestation fondée directement et uniquement sur les indications des médecins traitants n'interviendra que très rarement dans un litige, compte tenu du fait que ces médecins, en raison de la relation de confiance qu’ils entretiennent avec leurs patients, se prononcent en cas de doute plutôt en faveur de ceux-ci, de sorte que leur rapports n’aboutissent pas forcément à une appréciation objective de l’état de santé permettant de trancher la question des prestations d’assurance de façon concluante (cf. supra consid. 2.3). Si ce qui précède n’enlève rien au fait que l’ensemble des rapports médicaux doivent être pris en considération par le Tribunal, force est de constater que l’entier des rapports de la Dresse C _________ émis dans le cadre des nouvelles demandes de prestations formulées par sa patiente contiennent les mêmes diagnostics, qui ne sont pas nouveaux,</w:t>
      </w:r>
    </w:p>
    <w:p>
      <w:r>
        <w:t>- 16 - et que l’estimation de la capacité de travail de l’assurée semble s’adapter à l’activité réellement exercée par cette dernière. Compte tenu de ce qui précède, il n’est pas critiquable pour le SMR d’avoir conclu qu’aucun nouvel élément médical objectif ne justifiait une modification notable de l’invalidité de l’intéressée. En outre, dans un rapport final du 28 février 2023, le Dr I _________ a expliqué de manière claire et cohérente que l’épisode dépressif moyen annoncé en novembre 2022, qui avait permis d’admettre la plausibilité de la nouvelle demande, avait été en rémission dès le mois de décembre suivant, si bien que cette modification de l’humeur de quelques semaines ne pouvait pas s’entendre comme une modification durable de l’état de santé au sens de l’AI, et que si la réception de la lettre de licenciement au début de l’année 2023 constituait un facteur de stress indéniable, aucun diagnostic qui n’avait pas déjà été posé n’était annoncé, les éléments cliniques fournis ne permettant du reste pas d’établir l’existence d’un nouvel épisode dépressif. Le rapport final susmentionné constitue par ailleurs un rapport au sens de l’article 54a LAI (en corrélation avec l’art. 49 al. 1 RAI), dans la mesure où il ne repose pas sur des observations cliniques auxquelles le Dr I _________ aurait procédé lui-même, mais sur une appréciation basée exclusivement sur une analyse des documents médicaux versés au dossier. Ce rapport s’est fondé sur l’ensemble des pièces médicales présentes et bénéficie ainsi d’une pleine valeur probante permettant à l’OAI et à la Cour de céans de porter un jugement valable sur l’affaire (arrêts du Tribunal fédéral 9C_542/2011 précité et I 143/07 du 14 septembre 2007 consid. 3.3). Il n’était au demeurant pas nécessaire que le SMR examine personnellement l’assurée, la situation médicale étant essentiellement établie, de sorte qu’un examen médical direct de l’intéressée passait au second plan (arrêts du Tribunal fédéral 9C_589/2010 du 8 septembre 2010 consid. 2 et 9C_323/2009 du 22 mai 2009 consid. 4.2 et 4.3).</w:t>
      </w:r>
    </w:p>
    <w:p>
      <w:r>
        <w:rPr>
          <w:b/>
        </w:rPr>
        <w:t>E. 3.4</w:t>
      </w:r>
    </w:p>
    <w:p>
      <w:r>
        <w:t>S’agissant enfin des nouveaux rapports médicaux déposés par la recourante le 15 avril 2024, soit un rapport d’examen neuropsychologique du 22 février 2024 et un rapport de la Dresse C _________ du 24 mars suivant, la Cour rappelle que le juge des assurances sociales doit apprécier la légalité des décisions attaquées d'après l'état de fait existant au moment où la décision litigieuse a été rendue et que les faits survenus postérieurement et ayant modifié cette situation doivent en principe faire l'objet d'une nouvelle décision administrative (cf. supra consid. 2.5). En l’occurrence, il ressort des rapports susmentionnés qu’une aggravation de l’état de santé de la recourante, sous la forme d’un trouble du spectre autistique, est alléguée dès le mois de septembre 2023, soit postérieurement à la décision litigieuse. Ces rapports n’ont ainsi pas à être pris en</w:t>
      </w:r>
    </w:p>
    <w:p>
      <w:r>
        <w:t>- 17 - considération dans la présente cause, étant rappelée à l’intéressée qu’il lui est loisible de déposer une nouvelle demande de prestations si elle le juge utile.</w:t>
      </w:r>
    </w:p>
    <w:p>
      <w:r>
        <w:rPr>
          <w:b/>
        </w:rPr>
        <w:t>E. 3.5</w:t>
      </w:r>
    </w:p>
    <w:p>
      <w:r>
        <w:t>Vu les éléments qui précèdent, il n’existe aucun motif justifiant de réviser le droit de la recourante à une rente d’invalidité dans le cadre de sa nouvelle demande du 16 novembre 2022. A l’instar du SMR dans son appréciation du 28 février 2023, il sied de confirmer l’absence de toute modification objective, significative et durable de l’état de santé psychique de la recourante, susceptible d’influencer son droit aux prestations AI, depuis la décision du 23 janvier 2019. Le recours doit par conséquent être rejeté et la décision du 21 juin 2023 confirmée. Les faits étant suffisamment établis, il n’y a non plus pas lieu pour la Cour de céans d’ordonner l’administration d’un autre moyen de preuve, tel que l’expertise pluridisciplinaire requise par la recourante (appréciation anticipée des moyens de preuve ; ATF 145 I 167 consid. 4.1 ; 144 II 427 consid. 3.1.3 et 141 I 60 consid. 3.3).</w:t>
      </w:r>
    </w:p>
    <w:p>
      <w:r>
        <w:rPr>
          <w:b/>
        </w:rPr>
        <w:t>E. 4.1</w:t>
      </w:r>
    </w:p>
    <w:p>
      <w:r>
        <w:t>Les frais de justice, arrêtés à 500 francs selon les principes de la couverture des coûts et de l’équivalence des prestations, sont mis à la charge de la recourante qui succombe (art. 61 let. fbis LPGA et art. 69 al. 1bis LAI), le montant étant compensé par l’avance de frais, d’un montant équivalent, déjà versée.</w:t>
      </w:r>
    </w:p>
    <w:p>
      <w:r>
        <w:rPr>
          <w:b/>
        </w:rPr>
        <w:t>E. 4.2</w:t>
      </w:r>
    </w:p>
    <w:p>
      <w:r>
        <w:t>La recourante n’ayant pas gain de cause, il ne lui est pas alloué de dépens (art. 61 let. g LPGA a contrario), ni d’ailleurs à l’office intimé (art. 91 al. 3 LPJA). Prononce</w:t>
      </w:r>
    </w:p>
    <w:p>
      <w:r>
        <w:t>1. Le recours est rejeté. 2. Les frais, par 500 francs, sont mis à la charge de X _________. 3. Il n’est pas alloué de dépens. Sion, le 5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